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PROGRAMA DE CONSEJERÍA PARA 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PRIMARIAS DE URBANDALE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033838" cy="2168188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216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Expectativas de Kindergarten para Habilidades de Aprendizaje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Los estudiantes conocerán habilidades que les ayuden a aprender (Prestar atención, escuchar, hacer preguntas, y el auto-estímulo).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Lo que puede hacer en casa para ayudar a su hijo/a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Enfoque                                             Actividades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 xml:space="preserve">Listening skills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 xml:space="preserve">♦ Practicar mantenerse quieto/a, contacto visual cuando esta prestando atencion. 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 xml:space="preserve">♦ Jugar "Simón dice" para practicar siguiendo direcciones. 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 xml:space="preserve">♦ Lleve a su hijo a la biblioteca a la hora de cuentos para practicar escuchar. 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 xml:space="preserve">♦ Juegue "21 preguntas" o el juego headbanz para animar el uso de preguntas relevantes.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Comuníquese con su Consejera Escolar , Danielle Murphy, para más ideas.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