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30"/>
          <w:szCs w:val="30"/>
          <w:rtl w:val="0"/>
        </w:rPr>
        <w:t xml:space="preserve">PROGRAMA DE CONSEJERÍA PARA LA PRIMARIAS DE URBANDALE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438400" cy="1310968"/>
            <wp:effectExtent b="0" l="0" r="0" t="0"/>
            <wp:docPr descr="lkidsclass.jpg" id="1" name="image01.jpg"/>
            <a:graphic>
              <a:graphicData uri="http://schemas.openxmlformats.org/drawingml/2006/picture">
                <pic:pic>
                  <pic:nvPicPr>
                    <pic:cNvPr descr="lkidsclass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10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22"/>
          <w:szCs w:val="22"/>
          <w:rtl w:val="0"/>
        </w:rPr>
        <w:t xml:space="preserve">Expectativas de Cuarto Grado para Habilidades de Aprendizaje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2"/>
          <w:szCs w:val="22"/>
          <w:rtl w:val="0"/>
        </w:rPr>
        <w:t xml:space="preserve">Los estudiantes sabrán cómo organizar su tiempo manejar su día. Los estudiantes sabrán cómo establecer una meta INTELIGENTE; específica, medible, alcanzable, relevante, de duración determinada.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22"/>
          <w:szCs w:val="22"/>
          <w:rtl w:val="0"/>
        </w:rPr>
        <w:t xml:space="preserve">Lo que puede hacer en casa para ayudar a su hijo/a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Las cosas influencian el éxito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Comparta cómo el esfuerzo, suerte, y otros jugaron un papel importante en una situación exitosa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Anime a su hijo a mantener un calendario de las actividades personales.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Anime a su hijo a hacer lo primero es lo primero. (Tarea antes de jugar, etc.)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Dígale a su hijo metas que usted se propuso y lo que hizo para llegar a ellas. Anímelos a establecer metas y discutir un plan para llegar a ellas.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Estilos de Aprendizaje - Todos aprendemos de diferentes maneras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Pregunta "¿Cómo se aprende mejor? ¿Cuáles son sus puntos fuertes en el aprendizaje? "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Comparta cuáles  son sus puntos fuertes.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Consejos para la Tarea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Establecer un lugar tranquilo, lejos de las distracciones, para hacer la tarea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Acordar el tiempo para hacer la tarea de cada día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Tener materiales disponibles (papel, lápices, etc.)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Hable acerca de las diferentes maneras de estudiar para un examen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color w:val="141413"/>
          <w:sz w:val="22"/>
          <w:szCs w:val="22"/>
          <w:rtl w:val="0"/>
        </w:rPr>
        <w:t xml:space="preserve">Comuníquese con su Consejera Escolar , Danielle Murphy, para más ideas.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