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141413"/>
          <w:sz w:val="30"/>
          <w:szCs w:val="30"/>
          <w:rtl w:val="0"/>
        </w:rPr>
        <w:t xml:space="preserve">PROGRAMA DE CONSEJERÍA PARA LA PRIMARIAS DE URBANDALE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3129293" cy="1681163"/>
            <wp:effectExtent b="0" l="0" r="0" t="0"/>
            <wp:docPr descr="lkidsclass.jpg" id="1" name="image01.jpg"/>
            <a:graphic>
              <a:graphicData uri="http://schemas.openxmlformats.org/drawingml/2006/picture">
                <pic:pic>
                  <pic:nvPicPr>
                    <pic:cNvPr descr="lkidsclass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9293" cy="1681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141413"/>
          <w:rtl w:val="0"/>
        </w:rPr>
        <w:t xml:space="preserve">Expectativas de Tercer Grado para Habilidades de Aprendizaje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rPr>
          <w:b w:val="1"/>
          <w:sz w:val="22"/>
          <w:szCs w:val="22"/>
          <w:rtl w:val="0"/>
        </w:rPr>
        <w:t xml:space="preserve">Los estudiantes sabrán lo que prioridad ; haciendo las cosas más importantes primero. Los estudiantes conocerán la importancia de establecer una meta que sea medible. Los estudiantes sabrán cómo organizar sus materiales para aprender. (Planificador, mochila, escritorio o casillero - si aplica)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141413"/>
          <w:sz w:val="22"/>
          <w:szCs w:val="22"/>
          <w:rtl w:val="0"/>
        </w:rPr>
        <w:t xml:space="preserve">Lo que puede hacer en casa para ayudar a su hijo/a</w:t>
      </w:r>
      <w:r w:rsidDel="00000000" w:rsidR="00000000" w:rsidRPr="00000000">
        <w:rPr>
          <w:rFonts w:ascii="Arial" w:cs="Arial" w:eastAsia="Arial" w:hAnsi="Arial"/>
          <w:b w:val="1"/>
          <w:color w:val="141413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Desarrolle una Rutina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Establecer rutinas para la tarea, la hora de dormir, el ejercicio y la buena higiene.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Hable y Piense Positivamente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Desarrollar una canción familiar de rap para animar , etc., utilizando palabras de aliento.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No se Detenga en una actividad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Divida las tareas y actividades en porciones pequeñas fáciles de manejar,.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La Práctica hace la Perfección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Haga una tabla práctica para seguir el progreso (los deberes, tareas, deportes, música, etc.)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Ayude a su niño establecer metas a corto plazo en la casa y ofrecer aliento para alcanzar esas metas.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Organización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41413"/>
                <w:sz w:val="22"/>
                <w:szCs w:val="22"/>
                <w:rtl w:val="0"/>
              </w:rPr>
              <w:t xml:space="preserve">♦ Verifique la Mochila y el portafolio de tareas  de su hijo/a diariamente hasta que se convierta en una rutina.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141413"/>
          <w:rtl w:val="0"/>
        </w:rPr>
        <w:t xml:space="preserve">Comuníquese con su Consejera Escolar , Danielle Murphy, para más ideas.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0" w:line="240" w:lineRule="auto"/>
    </w:pPr>
    <w:rPr>
      <w:rFonts w:ascii="Cambria" w:cs="Cambria" w:eastAsia="Cambria" w:hAnsi="Cambria"/>
      <w:b w:val="0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