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PROGRAMA DE CONSEJERÍA PARA LA PRIMARIAS DE URBANDALE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672013" cy="2511207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2511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Expectativas de Primer Grado para Habilidades de Aprendizaje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rtl w:val="0"/>
        </w:rPr>
        <w:t xml:space="preserve">Los estudiantes conocerán las habilidades necesarias para prestar atención; contacto con los ojos, pensar en lo que se está diciendo, mantenerse en silencio, quedarse quieto.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Lo que puede hacer en casa para ayudar a su hijo/a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                   Enfoque</w:t>
        <w:tab/>
        <w:tab/>
        <w:tab/>
        <w:tab/>
        <w:tab/>
        <w:tab/>
        <w:tab/>
        <w:t xml:space="preserve">Actividades 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Habilidades de Escuchar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Practicar mantenerse quieto, usar contacto visual cuando se escucha.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♦ Jugar "Simón dice" para practicar siguiendo instrucciones. ♦ Lleve a su hijo a la biblioteca para que practiquen como prestar atencion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141413"/>
          <w:sz w:val="36"/>
          <w:szCs w:val="36"/>
          <w:rtl w:val="0"/>
        </w:rPr>
        <w:t xml:space="preserve">Comuníquese con su Consejera Escolar , Danielle Murphy, para ideas.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