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PROGRAMA DE CONSEJERÍA PARA LAS ESCUELAS PRIMARIAS DE URBANDALE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967038" cy="2212265"/>
            <wp:effectExtent b="0" l="0" r="0" t="0"/>
            <wp:docPr descr="hands_love_eps_10.jpg" id="1" name="image01.jpg"/>
            <a:graphic>
              <a:graphicData uri="http://schemas.openxmlformats.org/drawingml/2006/picture">
                <pic:pic>
                  <pic:nvPicPr>
                    <pic:cNvPr descr="hands_love_eps_10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2212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Expectativas de Primer Grado sobre el Aprendizaje de Comportamientos Éticos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Los estudiantes podrán identificar lo que es la intimidación escolar. Los estudiantes sabrán la diferencia entre dar quejas e informar; Quejarse - se hace para meter a alguien en problemas, no me involucra, puedo cuidar de mí mismo, nadie está herido o en una situación peligrosa; Informar - He tratado de resolver el problema por cuenta propia, alguien está herido o en una situación peligrosa, algún tipo de propiedad ha sido destruido.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8"/>
          <w:szCs w:val="28"/>
          <w:rtl w:val="0"/>
        </w:rPr>
        <w:t xml:space="preserve">Que puede hacer en casa para ayudar a su hijo/a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Definición de acoso escolar (Bullying)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Comportamiento cruel o hiriente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Hecho a propósito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Comportamiento Repetitivo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Debe tener un desequilibrio de poder (objetivo se siente asustado o incómodo)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Ayude a su hijo/a nombrar tres amigos con quien el/ella se divierte en la escuela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Hable acerca de los problemas que su hijo puede resolver por sí solo/a  y los problemas donde necesita ayuda.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Cuando los niños se acerquen a ti en busca de ayuda con un problema, trate de no responder con "No esté dando quejas " En cambio, pregúntele al niño, "¿Has tratado de resolver el problema sin ayuda?" "¿Hay alguien herido o lesionado?" Si la respuesta es no, les ayudan a generar soluciones para que puedan trabajar hacia la solución del problema por sí solos.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 • Pídale a su hijo/a "¿Cómo te sientes cuando alguien da quejas de ti?" Ayude a su hijo/a a entender que otros se pueden sentir la misma manera en una situación donde el/ella esta dando quejas.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¿Quién en su vecindario puede ayudar a su hijo/a en una situación donde el/ella lo necesite?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¿Quién es la persona correcta en la escuela que su hijo/a le puede pedir ayuda?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141413"/>
          <w:sz w:val="24"/>
          <w:szCs w:val="24"/>
          <w:rtl w:val="0"/>
        </w:rPr>
        <w:t xml:space="preserve">• Cuando lea un libro con su hijo/a discuta cómo los personajes resolvieron sus problemas.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b w:val="1"/>
          <w:color w:val="141413"/>
          <w:sz w:val="24"/>
          <w:szCs w:val="24"/>
          <w:rtl w:val="0"/>
        </w:rPr>
        <w:t xml:space="preserve">Comuníquese con su Consejero/a Escolar para obtener más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