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43238" cy="2026796"/>
            <wp:effectExtent b="0" l="0" r="0" t="0"/>
            <wp:docPr descr="8065467654_ef87b5cca9_self-esteem.jpg" id="1" name="image01.jpg"/>
            <a:graphic>
              <a:graphicData uri="http://schemas.openxmlformats.org/drawingml/2006/picture">
                <pic:pic>
                  <pic:nvPicPr>
                    <pic:cNvPr descr="8065467654_ef87b5cca9_self-estee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2026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 Grade Expectations for Intrapersonal Skills Development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how to protect their self-esteem (Doing, Thinking, Talking, Feeling tools).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u w:val="single"/>
          <w:rtl w:val="0"/>
        </w:rPr>
        <w:t xml:space="preserve">Self-Esteem Tools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Doing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Tools 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- actions you take, things you do (walking away, hitting someone)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Thinking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Tools 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- what you say in your head (turn negative self-talk to positive self-talk)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Talking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Tools 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- what you say to others (letting others know how you feel)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Feeling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Tools </w:t>
      </w: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- expressing feelings honestly, when you understand your feelings you can choose more effective doing, thinking and talking tools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list five personal strengths.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Having responsibilities increases a sense of self-worth. Give your child opportunities to show responsibility.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positive self-talk (I can do hard work, I have friends who care about me, I am kind, I am special).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“Which self-esteem tool are you good at using?”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“Which tool is difficult for you to use?”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children to give examples of a situation in which they chose actions that: a.) got them in trouble or b.) caused them to feel bad about themselves. Which self-esteem tool could you have used differently to have a better outcome?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